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Risk assessment: remote placement and kit</w:t>
      </w:r>
    </w:p>
    <w:p>
      <w:r>
        <w:rPr>
          <w:b/>
        </w:rPr>
        <w:t xml:space="preserve">Lessonsmith T Level Cyber Security Placement</w:t>
      </w:r>
      <w:r>
        <w:t xml:space="preserve"> · Filled in by: </w:t>
      </w:r>
      <w:r>
        <w:rPr>
          <w:b/>
        </w:rPr>
        <w:t xml:space="preserve">The host employer, agreed with the provider</w:t>
      </w:r>
      <w:r>
        <w:t xml:space="preserve"> · When: </w:t>
      </w:r>
      <w:r>
        <w:rPr>
          <w:b/>
        </w:rPr>
        <w:t xml:space="preserve">March, reviewed on day 15</w:t>
      </w:r>
    </w:p>
    <w:p>
      <w:pPr>
        <w:pBdr>
          <w:left w:val="single" w:sz="24" w:space="8" w:color="B8901A"/>
        </w:pBdr>
        <w:shd w:val="clear" w:color="auto" w:fill="FDF4D6"/>
        <w:spacing w:after="0"/>
        <w:ind w:left="240" w:right="120"/>
      </w:pPr>
      <w:r>
        <w:rPr>
          <w:b/>
        </w:rPr>
        <w:t xml:space="preserve">💡 How to fill this in</w:t>
      </w:r>
    </w:p>
    <w:p>
      <w:pPr>
        <w:pBdr>
          <w:left w:val="single" w:sz="24" w:space="8" w:color="B8901A"/>
        </w:pBdr>
        <w:shd w:val="clear" w:color="auto" w:fill="FDF4D6"/>
        <w:spacing w:after="0"/>
        <w:ind w:left="240" w:right="120"/>
      </w:pPr>
      <w:r>
        <w:t xml:space="preserve">Placement students are treated as employees under health and safety law, so this follows our normal risk assessment, with the extra points for young people working remotely. Add anything specific to the student.</w:t>
      </w:r>
    </w:p>
    <w:p>
      <w:pPr>
        <w:spacing w:after="60"/>
      </w:pPr>
    </w:p>
    <w:tbl>
      <w:tblPr>
        <w:tblStyle w:val="TableGrid"/>
        <w:tblW w:w="9638" w:type="dxa"/>
        <w:tblLayout w:type="fixed"/>
      </w:tblPr>
      <w:tblGrid>
        <w:gridCol w:w="1927"/>
        <w:gridCol w:w="1927"/>
        <w:gridCol w:w="1927"/>
        <w:gridCol w:w="1927"/>
        <w:gridCol w:w="1927"/>
      </w:tblGrid>
      <w:tr>
        <w:trPr>
          <w:cantSplit/>
          <w:tblHeader/>
        </w:trPr>
        <w:tc>
          <w:tcPr>
            <w:tcW w:w="1927" w:type="dxa"/>
            <w:shd w:val="clear" w:color="auto" w:fill="E3EEEA"/>
          </w:tcPr>
          <w:p>
            <w:pPr>
              <w:spacing w:before="40" w:after="40"/>
            </w:pPr>
            <w:r>
              <w:rPr>
                <w:b/>
              </w:rPr>
              <w:t xml:space="preserve">Hazard</w:t>
            </w:r>
          </w:p>
        </w:tc>
        <w:tc>
          <w:tcPr>
            <w:tcW w:w="1927" w:type="dxa"/>
            <w:shd w:val="clear" w:color="auto" w:fill="E3EEEA"/>
          </w:tcPr>
          <w:p>
            <w:pPr>
              <w:spacing w:before="40" w:after="40"/>
            </w:pPr>
            <w:r>
              <w:rPr>
                <w:b/>
              </w:rPr>
              <w:t xml:space="preserve">Who could be harmed</w:t>
            </w:r>
          </w:p>
        </w:tc>
        <w:tc>
          <w:tcPr>
            <w:tcW w:w="1927" w:type="dxa"/>
            <w:shd w:val="clear" w:color="auto" w:fill="E3EEEA"/>
          </w:tcPr>
          <w:p>
            <w:pPr>
              <w:spacing w:before="40" w:after="40"/>
            </w:pPr>
            <w:r>
              <w:rPr>
                <w:b/>
              </w:rPr>
              <w:t xml:space="preserve">Controls in place</w:t>
            </w:r>
          </w:p>
        </w:tc>
        <w:tc>
          <w:tcPr>
            <w:tcW w:w="1927" w:type="dxa"/>
            <w:shd w:val="clear" w:color="auto" w:fill="E3EEEA"/>
          </w:tcPr>
          <w:p>
            <w:pPr>
              <w:spacing w:before="40" w:after="40"/>
            </w:pPr>
            <w:r>
              <w:rPr>
                <w:b/>
              </w:rPr>
              <w:t xml:space="preserve">Risk (low, medium, high)</w:t>
            </w:r>
          </w:p>
        </w:tc>
        <w:tc>
          <w:tcPr>
            <w:tcW w:w="1927" w:type="dxa"/>
            <w:shd w:val="clear" w:color="auto" w:fill="E3EEEA"/>
          </w:tcPr>
          <w:p>
            <w:pPr>
              <w:spacing w:before="40" w:after="40"/>
            </w:pPr>
            <w:r>
              <w:rPr>
                <w:b/>
              </w:rPr>
              <w:t xml:space="preserve">Extra action</w:t>
            </w:r>
          </w:p>
        </w:tc>
      </w:tr>
      <w:tr>
        <w:trPr>
          <w:cantSplit/>
        </w:trPr>
        <w:tc>
          <w:tcPr>
            <w:tcW w:w="1927" w:type="dxa"/>
          </w:tcPr>
          <w:p>
            <w:pPr>
              <w:spacing w:before="40" w:after="40"/>
            </w:pPr>
            <w:r>
              <w:t xml:space="preserve">Long screen time, poor posture</w:t>
            </w:r>
          </w:p>
        </w:tc>
        <w:tc>
          <w:tcPr>
            <w:tcW w:w="1927" w:type="dxa"/>
          </w:tcPr>
          <w:p>
            <w:pPr>
              <w:spacing w:before="40" w:after="40"/>
            </w:pPr>
            <w:r>
              <w:t xml:space="preserve">Student</w:t>
            </w:r>
          </w:p>
        </w:tc>
        <w:tc>
          <w:tcPr>
            <w:tcW w:w="1927" w:type="dxa"/>
          </w:tcPr>
          <w:p>
            <w:pPr>
              <w:spacing w:before="40" w:after="40"/>
            </w:pPr>
            <w:r>
              <w:t xml:space="preserve">Home working check; breaks every hour; 30-minute lunch</w:t>
            </w:r>
          </w:p>
        </w:tc>
        <w:tc>
          <w:tcPr>
            <w:tcW w:w="1927" w:type="dxa"/>
          </w:tcPr>
          <w:p>
            <w:pPr>
              <w:spacing w:before="40" w:after="40"/>
            </w:pPr>
            <w:r>
              <w:t xml:space="preserve">Low</w:t>
            </w:r>
          </w:p>
        </w:tc>
        <w:tc>
          <w:tcPr>
            <w:tcW w:w="1927" w:type="dxa"/>
          </w:tcPr>
          <w:p>
            <w:pPr>
              <w:spacing w:before="40" w:after="40"/>
            </w:pPr>
          </w:p>
        </w:tc>
      </w:tr>
      <w:tr>
        <w:trPr>
          <w:cantSplit/>
        </w:trPr>
        <w:tc>
          <w:tcPr>
            <w:tcW w:w="1927" w:type="dxa"/>
          </w:tcPr>
          <w:p>
            <w:pPr>
              <w:spacing w:before="40" w:after="40"/>
            </w:pPr>
            <w:r>
              <w:t xml:space="preserve">Working alone, isolation</w:t>
            </w:r>
          </w:p>
        </w:tc>
        <w:tc>
          <w:tcPr>
            <w:tcW w:w="1927" w:type="dxa"/>
          </w:tcPr>
          <w:p>
            <w:pPr>
              <w:spacing w:before="40" w:after="40"/>
            </w:pPr>
            <w:r>
              <w:t xml:space="preserve">Student</w:t>
            </w:r>
          </w:p>
        </w:tc>
        <w:tc>
          <w:tcPr>
            <w:tcW w:w="1927" w:type="dxa"/>
          </w:tcPr>
          <w:p>
            <w:pPr>
              <w:spacing w:before="40" w:after="40"/>
            </w:pPr>
            <w:r>
              <w:t xml:space="preserve">Daily stand-up and drop-in; named supervisor; weekly review</w:t>
            </w:r>
          </w:p>
        </w:tc>
        <w:tc>
          <w:tcPr>
            <w:tcW w:w="1927" w:type="dxa"/>
          </w:tcPr>
          <w:p>
            <w:pPr>
              <w:spacing w:before="40" w:after="40"/>
            </w:pPr>
            <w:r>
              <w:t xml:space="preserve">Low</w:t>
            </w:r>
          </w:p>
        </w:tc>
        <w:tc>
          <w:tcPr>
            <w:tcW w:w="1927" w:type="dxa"/>
          </w:tcPr>
          <w:p>
            <w:pPr>
              <w:spacing w:before="40" w:after="40"/>
            </w:pPr>
          </w:p>
        </w:tc>
      </w:tr>
      <w:tr>
        <w:trPr>
          <w:cantSplit/>
        </w:trPr>
        <w:tc>
          <w:tcPr>
            <w:tcW w:w="1927" w:type="dxa"/>
          </w:tcPr>
          <w:p>
            <w:pPr>
              <w:spacing w:before="40" w:after="40"/>
            </w:pPr>
            <w:r>
              <w:t xml:space="preserve">Online contact with adults</w:t>
            </w:r>
          </w:p>
        </w:tc>
        <w:tc>
          <w:tcPr>
            <w:tcW w:w="1927" w:type="dxa"/>
          </w:tcPr>
          <w:p>
            <w:pPr>
              <w:spacing w:before="40" w:after="40"/>
            </w:pPr>
            <w:r>
              <w:t xml:space="preserve">Student</w:t>
            </w:r>
          </w:p>
        </w:tc>
        <w:tc>
          <w:tcPr>
            <w:tcW w:w="1927" w:type="dxa"/>
          </w:tcPr>
          <w:p>
            <w:pPr>
              <w:spacing w:before="40" w:after="40"/>
            </w:pPr>
            <w:r>
              <w:t xml:space="preserve">Lessonsmith meeting space only; no private messaging; logged calls</w:t>
            </w:r>
          </w:p>
        </w:tc>
        <w:tc>
          <w:tcPr>
            <w:tcW w:w="1927" w:type="dxa"/>
          </w:tcPr>
          <w:p>
            <w:pPr>
              <w:spacing w:before="40" w:after="40"/>
            </w:pPr>
            <w:r>
              <w:t xml:space="preserve">Low</w:t>
            </w:r>
          </w:p>
        </w:tc>
        <w:tc>
          <w:tcPr>
            <w:tcW w:w="1927" w:type="dxa"/>
          </w:tcPr>
          <w:p>
            <w:pPr>
              <w:spacing w:before="40" w:after="40"/>
            </w:pPr>
          </w:p>
        </w:tc>
      </w:tr>
      <w:tr>
        <w:trPr>
          <w:cantSplit/>
        </w:trPr>
        <w:tc>
          <w:tcPr>
            <w:tcW w:w="1927" w:type="dxa"/>
          </w:tcPr>
          <w:p>
            <w:pPr>
              <w:spacing w:before="40" w:after="40"/>
            </w:pPr>
            <w:r>
              <w:t xml:space="preserve">Misuse of tools or testing real systems</w:t>
            </w:r>
          </w:p>
        </w:tc>
        <w:tc>
          <w:tcPr>
            <w:tcW w:w="1927" w:type="dxa"/>
          </w:tcPr>
          <w:p>
            <w:pPr>
              <w:spacing w:before="40" w:after="40"/>
            </w:pPr>
            <w:r>
              <w:t xml:space="preserve">Student, others</w:t>
            </w:r>
          </w:p>
        </w:tc>
        <w:tc>
          <w:tcPr>
            <w:tcW w:w="1927" w:type="dxa"/>
          </w:tcPr>
          <w:p>
            <w:pPr>
              <w:spacing w:before="40" w:after="40"/>
            </w:pPr>
            <w:r>
              <w:t xml:space="preserve">Rules of engagement signed; VM in its own project; IAP to own VM only; logging</w:t>
            </w:r>
          </w:p>
        </w:tc>
        <w:tc>
          <w:tcPr>
            <w:tcW w:w="1927" w:type="dxa"/>
          </w:tcPr>
          <w:p>
            <w:pPr>
              <w:spacing w:before="40" w:after="40"/>
            </w:pPr>
            <w:r>
              <w:t xml:space="preserve">Low</w:t>
            </w:r>
          </w:p>
        </w:tc>
        <w:tc>
          <w:tcPr>
            <w:tcW w:w="1927" w:type="dxa"/>
          </w:tcPr>
          <w:p>
            <w:pPr>
              <w:spacing w:before="40" w:after="40"/>
            </w:pPr>
          </w:p>
        </w:tc>
      </w:tr>
      <w:tr>
        <w:trPr>
          <w:cantSplit/>
        </w:trPr>
        <w:tc>
          <w:tcPr>
            <w:tcW w:w="1927" w:type="dxa"/>
          </w:tcPr>
          <w:p>
            <w:pPr>
              <w:spacing w:before="40" w:after="40"/>
            </w:pPr>
            <w:r>
              <w:t xml:space="preserve">Working too long or late</w:t>
            </w:r>
          </w:p>
        </w:tc>
        <w:tc>
          <w:tcPr>
            <w:tcW w:w="1927" w:type="dxa"/>
          </w:tcPr>
          <w:p>
            <w:pPr>
              <w:spacing w:before="40" w:after="40"/>
            </w:pPr>
            <w:r>
              <w:t xml:space="preserve">Student</w:t>
            </w:r>
          </w:p>
        </w:tc>
        <w:tc>
          <w:tcPr>
            <w:tcW w:w="1927" w:type="dxa"/>
          </w:tcPr>
          <w:p>
            <w:pPr>
              <w:spacing w:before="40" w:after="40"/>
            </w:pPr>
            <w:r>
              <w:t xml:space="preserve">Working hours 9am to 4:30pm; Range and VM closed after 6pm and at weekends</w:t>
            </w:r>
          </w:p>
        </w:tc>
        <w:tc>
          <w:tcPr>
            <w:tcW w:w="1927" w:type="dxa"/>
          </w:tcPr>
          <w:p>
            <w:pPr>
              <w:spacing w:before="40" w:after="40"/>
            </w:pPr>
            <w:r>
              <w:t xml:space="preserve">Low</w:t>
            </w:r>
          </w:p>
        </w:tc>
        <w:tc>
          <w:tcPr>
            <w:tcW w:w="1927" w:type="dxa"/>
          </w:tcPr>
          <w:p>
            <w:pPr>
              <w:spacing w:before="40" w:after="40"/>
            </w:pPr>
          </w:p>
        </w:tc>
      </w:tr>
      <w:tr>
        <w:trPr>
          <w:cantSplit/>
        </w:trPr>
        <w:tc>
          <w:tcPr>
            <w:tcW w:w="1927" w:type="dxa"/>
          </w:tcPr>
          <w:p>
            <w:pPr>
              <w:spacing w:before="40" w:after="40"/>
            </w:pPr>
            <w:r>
              <w:t xml:space="preserve">Electrical kit (workbench and robotics only)</w:t>
            </w:r>
          </w:p>
        </w:tc>
        <w:tc>
          <w:tcPr>
            <w:tcW w:w="1927" w:type="dxa"/>
          </w:tcPr>
          <w:p>
            <w:pPr>
              <w:spacing w:before="40" w:after="40"/>
            </w:pPr>
            <w:r>
              <w:t xml:space="preserve">Student</w:t>
            </w:r>
          </w:p>
        </w:tc>
        <w:tc>
          <w:tcPr>
            <w:tcW w:w="1927" w:type="dxa"/>
          </w:tcPr>
          <w:p>
            <w:pPr>
              <w:spacing w:before="40" w:after="40"/>
            </w:pPr>
            <w:r>
              <w:t xml:space="preserve">Low-voltage parts only; no mains builds at home; soldering only on site</w:t>
            </w:r>
          </w:p>
        </w:tc>
        <w:tc>
          <w:tcPr>
            <w:tcW w:w="1927" w:type="dxa"/>
          </w:tcPr>
          <w:p>
            <w:pPr>
              <w:spacing w:before="40" w:after="40"/>
            </w:pPr>
            <w:r>
              <w:t xml:space="preserve">Medium</w:t>
            </w:r>
          </w:p>
        </w:tc>
        <w:tc>
          <w:tcPr>
            <w:tcW w:w="1927" w:type="dxa"/>
          </w:tcPr>
          <w:p>
            <w:pPr>
              <w:spacing w:before="40" w:after="40"/>
            </w:pPr>
          </w:p>
        </w:tc>
      </w:tr>
      <w:tr>
        <w:trPr>
          <w:cantSplit/>
        </w:trPr>
        <w:tc>
          <w:tcPr>
            <w:tcW w:w="1927" w:type="dxa"/>
          </w:tcPr>
          <w:p>
            <w:pPr>
              <w:spacing w:before="40" w:after="40"/>
            </w:pPr>
            <w:r>
              <w:t xml:space="preserve">Stress or worry</w:t>
            </w:r>
          </w:p>
        </w:tc>
        <w:tc>
          <w:tcPr>
            <w:tcW w:w="1927" w:type="dxa"/>
          </w:tcPr>
          <w:p>
            <w:pPr>
              <w:spacing w:before="40" w:after="40"/>
            </w:pPr>
            <w:r>
              <w:t xml:space="preserve">Student</w:t>
            </w:r>
          </w:p>
        </w:tc>
        <w:tc>
          <w:tcPr>
            <w:tcW w:w="1927" w:type="dxa"/>
          </w:tcPr>
          <w:p>
            <w:pPr>
              <w:spacing w:before="40" w:after="40"/>
            </w:pPr>
            <w:r>
              <w:t xml:space="preserve">Clear route to report a worry; support needs agreed in advance</w:t>
            </w:r>
          </w:p>
        </w:tc>
        <w:tc>
          <w:tcPr>
            <w:tcW w:w="1927" w:type="dxa"/>
          </w:tcPr>
          <w:p>
            <w:pPr>
              <w:spacing w:before="40" w:after="40"/>
            </w:pPr>
            <w:r>
              <w:t xml:space="preserve">Low</w:t>
            </w:r>
          </w:p>
        </w:tc>
        <w:tc>
          <w:tcPr>
            <w:tcW w:w="1927" w:type="dxa"/>
          </w:tcPr>
          <w:p>
            <w:pPr>
              <w:spacing w:before="40" w:after="40"/>
            </w:pPr>
          </w:p>
        </w:tc>
      </w:tr>
    </w:tbl>
    <w:p/>
    <w:tbl>
      <w:tblPr>
        <w:tblStyle w:val="TableGrid"/>
        <w:tblW w:w="9638" w:type="dxa"/>
        <w:tblLayout w:type="fixed"/>
      </w:tblPr>
      <w:tblGrid>
        <w:gridCol w:w="4819"/>
        <w:gridCol w:w="4819"/>
      </w:tblGrid>
      <w:tr>
        <w:trPr>
          <w:cantSplit/>
          <w:tblHeader/>
        </w:trPr>
        <w:tc>
          <w:tcPr>
            <w:tcW w:w="4819" w:type="dxa"/>
            <w:shd w:val="clear" w:color="auto" w:fill="E3EEEA"/>
          </w:tcPr>
          <w:p>
            <w:pPr>
              <w:spacing w:before="40" w:after="40"/>
            </w:pPr>
            <w:r>
              <w:rPr>
                <w:b/>
              </w:rPr>
              <w:t xml:space="preserve">Question</w:t>
            </w:r>
          </w:p>
        </w:tc>
        <w:tc>
          <w:tcPr>
            <w:tcW w:w="4819" w:type="dxa"/>
            <w:shd w:val="clear" w:color="auto" w:fill="E3EEEA"/>
          </w:tcPr>
          <w:p>
            <w:pPr>
              <w:spacing w:before="40" w:after="40"/>
            </w:pPr>
            <w:r>
              <w:rPr>
                <w:b/>
              </w:rPr>
              <w:t xml:space="preserve">Your answer</w:t>
            </w:r>
          </w:p>
        </w:tc>
      </w:tr>
      <w:tr>
        <w:trPr>
          <w:cantSplit/>
        </w:trPr>
        <w:tc>
          <w:tcPr>
            <w:tcW w:w="4819" w:type="dxa"/>
          </w:tcPr>
          <w:p>
            <w:pPr>
              <w:spacing w:before="40" w:after="40"/>
            </w:pPr>
            <w:r>
              <w:rPr>
                <w:b/>
              </w:rPr>
              <w:t xml:space="preserve">Student-specific risks</w:t>
            </w:r>
          </w:p>
        </w:tc>
        <w:tc>
          <w:tcPr>
            <w:tcW w:w="4819" w:type="dxa"/>
          </w:tcPr>
          <w:p>
            <w:pPr>
              <w:spacing w:before="40" w:after="40"/>
            </w:pPr>
          </w:p>
        </w:tc>
      </w:tr>
      <w:tr>
        <w:trPr>
          <w:cantSplit/>
        </w:trPr>
        <w:tc>
          <w:tcPr>
            <w:tcW w:w="4819" w:type="dxa"/>
          </w:tcPr>
          <w:p>
            <w:pPr>
              <w:spacing w:before="40" w:after="40"/>
            </w:pPr>
            <w:r>
              <w:rPr>
                <w:b/>
              </w:rPr>
              <w:t xml:space="preserve">Reviewed on (day 15)</w:t>
            </w:r>
          </w:p>
        </w:tc>
        <w:tc>
          <w:tcPr>
            <w:tcW w:w="4819" w:type="dxa"/>
          </w:tcPr>
          <w:p>
            <w:pPr>
              <w:spacing w:before="40" w:after="40"/>
            </w:pPr>
          </w:p>
        </w:tc>
      </w:tr>
      <w:tr>
        <w:trPr>
          <w:cantSplit/>
        </w:trPr>
        <w:tc>
          <w:tcPr>
            <w:tcW w:w="4819" w:type="dxa"/>
          </w:tcPr>
          <w:p>
            <w:pPr>
              <w:spacing w:before="40" w:after="40"/>
            </w:pPr>
            <w:r>
              <w:rPr>
                <w:b/>
              </w:rPr>
              <w:t xml:space="preserve">Changes made</w:t>
            </w:r>
          </w:p>
        </w:tc>
        <w:tc>
          <w:tcPr>
            <w:tcW w:w="4819" w:type="dxa"/>
          </w:tcPr>
          <w:p>
            <w:pPr>
              <w:spacing w:before="40" w:after="40"/>
            </w:pPr>
          </w:p>
        </w:tc>
      </w:tr>
    </w:tbl>
    <w:p/>
    <w:tbl>
      <w:tblPr>
        <w:tblStyle w:val="TableGrid"/>
        <w:tblW w:w="9638" w:type="dxa"/>
        <w:tblLayout w:type="fixed"/>
      </w:tblPr>
      <w:tblGrid>
        <w:gridCol w:w="2409"/>
        <w:gridCol w:w="2409"/>
        <w:gridCol w:w="2409"/>
        <w:gridCol w:w="2409"/>
      </w:tblGrid>
      <w:tr>
        <w:trPr>
          <w:cantSplit/>
          <w:tblHeader/>
        </w:trPr>
        <w:tc>
          <w:tcPr>
            <w:tcW w:w="2409" w:type="dxa"/>
            <w:shd w:val="clear" w:color="auto" w:fill="E3EEEA"/>
          </w:tcPr>
          <w:p>
            <w:pPr>
              <w:spacing w:before="40" w:after="40"/>
            </w:pPr>
            <w:r>
              <w:rPr>
                <w:b/>
              </w:rPr>
              <w:t xml:space="preserve">Signed by</w:t>
            </w:r>
          </w:p>
        </w:tc>
        <w:tc>
          <w:tcPr>
            <w:tcW w:w="2409" w:type="dxa"/>
            <w:shd w:val="clear" w:color="auto" w:fill="E3EEEA"/>
          </w:tcPr>
          <w:p>
            <w:pPr>
              <w:spacing w:before="40" w:after="40"/>
            </w:pPr>
            <w:r>
              <w:rPr>
                <w:b/>
              </w:rPr>
              <w:t xml:space="preserve">Name</w:t>
            </w:r>
          </w:p>
        </w:tc>
        <w:tc>
          <w:tcPr>
            <w:tcW w:w="2409" w:type="dxa"/>
            <w:shd w:val="clear" w:color="auto" w:fill="E3EEEA"/>
          </w:tcPr>
          <w:p>
            <w:pPr>
              <w:spacing w:before="40" w:after="40"/>
            </w:pPr>
            <w:r>
              <w:rPr>
                <w:b/>
              </w:rPr>
              <w:t xml:space="preserve">Signature</w:t>
            </w:r>
          </w:p>
        </w:tc>
        <w:tc>
          <w:tcPr>
            <w:tcW w:w="2409" w:type="dxa"/>
            <w:shd w:val="clear" w:color="auto" w:fill="E3EEEA"/>
          </w:tcPr>
          <w:p>
            <w:pPr>
              <w:spacing w:before="40" w:after="40"/>
            </w:pPr>
            <w:r>
              <w:rPr>
                <w:b/>
              </w:rPr>
              <w:t xml:space="preserve">Date</w:t>
            </w:r>
          </w:p>
        </w:tc>
      </w:tr>
      <w:tr>
        <w:trPr>
          <w:cantSplit/>
        </w:trPr>
        <w:tc>
          <w:tcPr>
            <w:tcW w:w="2409" w:type="dxa"/>
          </w:tcPr>
          <w:p>
            <w:pPr>
              <w:spacing w:before="40" w:after="40"/>
            </w:pPr>
            <w:r>
              <w:t xml:space="preserve">Host employer</w:t>
            </w:r>
          </w:p>
        </w:tc>
        <w:tc>
          <w:tcPr>
            <w:tcW w:w="2409" w:type="dxa"/>
          </w:tcPr>
          <w:p>
            <w:pPr>
              <w:spacing w:before="40" w:after="40"/>
            </w:pPr>
          </w:p>
        </w:tc>
        <w:tc>
          <w:tcPr>
            <w:tcW w:w="2409" w:type="dxa"/>
          </w:tcPr>
          <w:p>
            <w:pPr>
              <w:spacing w:before="40" w:after="40"/>
            </w:pPr>
          </w:p>
        </w:tc>
        <w:tc>
          <w:tcPr>
            <w:tcW w:w="2409" w:type="dxa"/>
          </w:tcPr>
          <w:p>
            <w:pPr>
              <w:spacing w:before="40" w:after="40"/>
            </w:pPr>
          </w:p>
        </w:tc>
      </w:tr>
      <w:tr>
        <w:trPr>
          <w:cantSplit/>
        </w:trPr>
        <w:tc>
          <w:tcPr>
            <w:tcW w:w="2409" w:type="dxa"/>
          </w:tcPr>
          <w:p>
            <w:pPr>
              <w:spacing w:before="40" w:after="40"/>
            </w:pPr>
            <w:r>
              <w:t xml:space="preserve">Provider</w:t>
            </w:r>
          </w:p>
        </w:tc>
        <w:tc>
          <w:tcPr>
            <w:tcW w:w="2409" w:type="dxa"/>
          </w:tcPr>
          <w:p>
            <w:pPr>
              <w:spacing w:before="40" w:after="40"/>
            </w:pPr>
          </w:p>
        </w:tc>
        <w:tc>
          <w:tcPr>
            <w:tcW w:w="2409" w:type="dxa"/>
          </w:tcPr>
          <w:p>
            <w:pPr>
              <w:spacing w:before="40" w:after="40"/>
            </w:pPr>
          </w:p>
        </w:tc>
        <w:tc>
          <w:tcPr>
            <w:tcW w:w="2409" w:type="dxa"/>
          </w:tcPr>
          <w:p>
            <w:pPr>
              <w:spacing w:before="40" w:after="40"/>
            </w:pPr>
          </w:p>
        </w:tc>
      </w:tr>
    </w:tbl>
    <w:p/>
    <w:sectPr>
      <w:pgSz w:w="11906" w:h="16838"/>
      <w:pgMar w:top="1134" w:right="1134" w:bottom="1134" w:left="1134" w:header="567" w:footer="567" w:gutter="0"/>
    </w:sectPr>
  </w:body>
</w:document>
</file>

<file path=word/numbering.xml><?xml version="1.0" encoding="utf-8"?>
<w:numbering xmlns:w="http://schemas.openxmlformats.org/wordprocessingml/2006/main" xmlns:r="http://schemas.openxmlformats.org/officeDocument/2006/relationships">
  <w:abstractNum w:abstractNumId="0">
    <w:multiLevelType w:val="hybridMultilevel"/>
    <w:lvl w:ilvl="0">
      <w:start w:val="1"/>
      <w:numFmt w:val="bullet"/>
      <w:lvlText w:val="•"/>
      <w:lvlJc w:val="left"/>
      <w:pPr>
        <w:ind w:left="360" w:hanging="280"/>
      </w:pPr>
      <w:rPr>
        <w:rFonts w:ascii="Calibri" w:hAnsi="Calibri"/>
      </w:rPr>
    </w:lvl>
    <w:lvl w:ilvl="1">
      <w:start w:val="1"/>
      <w:numFmt w:val="bullet"/>
      <w:lvlText w:val="◦"/>
      <w:lvlJc w:val="left"/>
      <w:pPr>
        <w:ind w:left="720" w:hanging="280"/>
      </w:pPr>
      <w:rPr>
        <w:rFonts w:ascii="Calibri" w:hAnsi="Calibri"/>
      </w:rPr>
    </w:lvl>
    <w:lvl w:ilvl="2">
      <w:start w:val="1"/>
      <w:numFmt w:val="bullet"/>
      <w:lvlText w:val="▪"/>
      <w:lvlJc w:val="left"/>
      <w:pPr>
        <w:ind w:left="1080" w:hanging="280"/>
      </w:pPr>
      <w:rPr>
        <w:rFonts w:ascii="Calibri" w:hAnsi="Calibri"/>
      </w:rPr>
    </w:lvl>
    <w:lvl w:ilvl="3">
      <w:start w:val="1"/>
      <w:numFmt w:val="bullet"/>
      <w:lvlText w:val="•"/>
      <w:lvlJc w:val="left"/>
      <w:pPr>
        <w:ind w:left="1440" w:hanging="280"/>
      </w:pPr>
      <w:rPr>
        <w:rFonts w:ascii="Calibri" w:hAnsi="Calibri"/>
      </w:rPr>
    </w:lvl>
  </w:abstractNum>
  <w:abstractNum w:abstractNumId="1">
    <w:multiLevelType w:val="hybridMultilevel"/>
    <w:lvl w:ilvl="0">
      <w:start w:val="1"/>
      <w:numFmt w:val="decimal"/>
      <w:lvlText w:val="%1."/>
      <w:lvlJc w:val="left"/>
      <w:pPr>
        <w:ind w:left="360" w:hanging="280"/>
      </w:pPr>
    </w:lvl>
    <w:lvl w:ilvl="1">
      <w:start w:val="1"/>
      <w:numFmt w:val="lowerLetter"/>
      <w:lvlText w:val="%2."/>
      <w:lvlJc w:val="left"/>
      <w:pPr>
        <w:ind w:left="720" w:hanging="280"/>
      </w:pPr>
    </w:lvl>
    <w:lvl w:ilvl="2">
      <w:start w:val="1"/>
      <w:numFmt w:val="lowerRoman"/>
      <w:lvlText w:val="%3."/>
      <w:lvlJc w:val="left"/>
      <w:pPr>
        <w:ind w:left="1080" w:hanging="280"/>
      </w:pPr>
    </w:lvl>
    <w:lvl w:ilvl="3">
      <w:start w:val="1"/>
      <w:numFmt w:val="decimal"/>
      <w:lvlText w:val="%4."/>
      <w:lvlJc w:val="left"/>
      <w:pPr>
        <w:ind w:left="1440" w:hanging="280"/>
      </w:pPr>
    </w:lvl>
  </w:abstractNum>
  <w:num w:numId="1">
    <w:abstractNumId w:val="0"/>
  </w:num>
</w:numbering>
</file>

<file path=word/styles.xml><?xml version="1.0" encoding="utf-8"?>
<w:styles xmlns:w="http://schemas.openxmlformats.org/wordprocessingml/2006/main" xmlns:r="http://schemas.openxmlformats.org/officeDocument/2006/relationships">
  <w:docDefaults>
    <w:rPrDefault>
      <w:rPr>
        <w:rFonts w:ascii="Calibri" w:hAnsi="Calibri" w:cs="Calibri" w:eastAsia="Calibri"/>
        <w:sz w:val="22"/>
        <w:szCs w:val="22"/>
        <w:lang w:val="en-GB"/>
      </w:rPr>
    </w:rPrDefault>
    <w:pPrDefault>
      <w:pPr>
        <w:spacing w:after="120" w:line="264" w:lineRule="auto"/>
      </w:pPr>
    </w:pPrDefault>
  </w:docDefaults>
  <w:style w:type="paragraph" w:default="1" w:styleId="Normal">
    <w:name w:val="Normal"/>
    <w:qFormat/>
  </w:style>
  <w:style w:type="paragraph" w:styleId="Heading1">
    <w:name w:val="heading 1"/>
    <w:basedOn w:val="Normal"/>
    <w:next w:val="Normal"/>
    <w:qFormat/>
    <w:pPr>
      <w:keepNext/>
      <w:spacing w:before="0" w:after="200"/>
      <w:outlineLvl w:val="0"/>
    </w:pPr>
    <w:rPr>
      <w:rFonts w:ascii="Arial" w:hAnsi="Arial"/>
      <w:b/>
      <w:sz w:val="36"/>
    </w:rPr>
  </w:style>
  <w:style w:type="paragraph" w:styleId="Heading2">
    <w:name w:val="heading 2"/>
    <w:basedOn w:val="Normal"/>
    <w:next w:val="Normal"/>
    <w:qFormat/>
    <w:pPr>
      <w:keepNext/>
      <w:spacing w:before="320" w:after="100"/>
      <w:pBdr>
        <w:bottom w:val="single" w:sz="4" w:space="2" w:color="AAAAAA"/>
      </w:pBdr>
      <w:outlineLvl w:val="1"/>
    </w:pPr>
    <w:rPr>
      <w:rFonts w:ascii="Arial" w:hAnsi="Arial"/>
      <w:b/>
      <w:sz w:val="28"/>
    </w:rPr>
  </w:style>
  <w:style w:type="paragraph" w:styleId="Heading3">
    <w:name w:val="heading 3"/>
    <w:basedOn w:val="Normal"/>
    <w:next w:val="Normal"/>
    <w:qFormat/>
    <w:pPr>
      <w:keepNext/>
      <w:spacing w:before="220" w:after="80"/>
      <w:outlineLvl w:val="2"/>
    </w:pPr>
    <w:rPr>
      <w:rFonts w:ascii="Arial" w:hAnsi="Arial"/>
      <w:b/>
      <w:sz w:val="24"/>
    </w:rPr>
  </w:style>
  <w:style w:type="paragraph" w:styleId="Heading4">
    <w:name w:val="heading 4"/>
    <w:basedOn w:val="Normal"/>
    <w:next w:val="Normal"/>
    <w:qFormat/>
    <w:pPr>
      <w:keepNext/>
      <w:spacing w:before="160" w:after="60"/>
      <w:outlineLvl w:val="3"/>
    </w:pPr>
    <w:rPr>
      <w:rFonts w:ascii="Arial" w:hAnsi="Arial"/>
      <w:b/>
      <w:sz w:val="22"/>
    </w:rPr>
  </w:style>
  <w:style w:type="paragraph" w:styleId="ListParagraph">
    <w:name w:val="List Paragraph"/>
    <w:basedOn w:val="Normal"/>
    <w:qFormat/>
    <w:pPr>
      <w:spacing w:after="40"/>
      <w:contextualSpacing/>
    </w:pPr>
  </w:style>
  <w:style w:type="paragraph" w:styleId="Quote">
    <w:name w:val="Quote"/>
    <w:basedOn w:val="Normal"/>
    <w:qFormat/>
    <w:pPr>
      <w:pBdr>
        <w:left w:val="single" w:sz="18" w:space="8" w:color="17604E"/>
      </w:pBdr>
      <w:shd w:val="clear" w:color="auto" w:fill="F2F6F4"/>
      <w:ind w:left="240"/>
    </w:pPr>
    <w:rPr>
      <w:i/>
    </w:rPr>
  </w:style>
  <w:style w:type="table" w:default="1" w:styleId="TableNormal">
    <w:name w:val="Normal Table"/>
    <w:uiPriority w:val="99"/>
    <w:semiHidden/>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